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«Математическое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Противодействие коррупции в образовательной сфере</w:t>
            </w:r>
          </w:p>
          <w:p>
            <w:pPr>
              <w:jc w:val="center"/>
              <w:spacing w:after="0" w:line="240" w:lineRule="auto"/>
              <w:rPr>
                <w:sz w:val="32"/>
                <w:szCs w:val="32"/>
              </w:rPr>
            </w:pPr>
            <w:r>
              <w:rPr>
                <w:rFonts w:ascii="Times New Roman" w:hAnsi="Times New Roman" w:cs="Times New Roman"/>
                <w:color w:val="#000000"/>
                <w:sz w:val="32"/>
                <w:szCs w:val="32"/>
              </w:rPr>
              <w:t> ФТД.02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«Математическое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31.1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/Кузнецова Е.К./</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«Математическое образование»;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«Противодействие коррупции в образовательной сфере»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ФТД.02 «Противодействие коррупции в образовательной сфере».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«Противодействие коррупции в образовательной сфере»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сущность приоритетных направлений развития образовательной системы Российской Федерации, законов и иных нормативно-правовых актов, регламентирующих образовательную деятельность в Российской Федерации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уметь объяснять нормативные документы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среднего профессионального образования, профессионального обучения, законодательства о правах ребенка, трудового законодательства</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владеть навыком применения в своей деятельности основных нормативно- правовых актов в сфере образования и норм профессиональной этики, обеспечивающих конфиденциальность сведений о субъектах образовательных отношений, полученных в процессе профессиональной деятельности</w:t>
            </w:r>
          </w:p>
        </w:tc>
      </w:tr>
      <w:tr>
        <w:trPr>
          <w:trHeight w:hRule="exact" w:val="277.8295"/>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действующие правовые нормы, обеспечивающие борьбу с коррупцией, экстремизмом и терроризмом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способы профилактики коррупции, экстремизма, тероризма и способы формирования нетерпимого отношения к ним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анализировать, толковать и правильно применять правовые нормы о противодействии коррупционному поведению, эктремизму и терроризму в профессиональной деятельности</w:t>
            </w:r>
          </w:p>
        </w:tc>
      </w:tr>
      <w:tr>
        <w:trPr>
          <w:trHeight w:hRule="exact" w:val="528.171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планировать, организовывать и проводить мероприятия, обеспечивающие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гражданской позиции и предотвращение коррупции, экстремизма и терроризма в профессиональной деятельности</w:t>
            </w:r>
          </w:p>
        </w:tc>
      </w:tr>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навыками работы с законодательными и другими нормативными правовыми актами</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взаимодействия в профессиональной деятельности на основе нетерпимого отношения к коррупции, проявлениям экстремизма и терроризма</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ФТД.02 «Противодействие коррупции в образовательной сфере»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789.80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Правоведение</w:t>
            </w:r>
          </w:p>
          <w:p>
            <w:pPr>
              <w:jc w:val="center"/>
              <w:spacing w:after="0" w:line="240" w:lineRule="auto"/>
              <w:rPr>
                <w:sz w:val="22"/>
                <w:szCs w:val="22"/>
              </w:rPr>
            </w:pPr>
            <w:r>
              <w:rPr>
                <w:rFonts w:ascii="Times New Roman" w:hAnsi="Times New Roman" w:cs="Times New Roman"/>
                <w:color w:val="#000000"/>
                <w:sz w:val="22"/>
                <w:szCs w:val="22"/>
              </w:rPr>
              <w:t> Учебная практика (профессионально- ознакомительная практика)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Книгоиздательское дело</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Стратегии противодействия международному терроризму</w:t>
            </w:r>
          </w:p>
          <w:p>
            <w:pPr>
              <w:jc w:val="center"/>
              <w:spacing w:after="0" w:line="240" w:lineRule="auto"/>
              <w:rPr>
                <w:sz w:val="22"/>
                <w:szCs w:val="22"/>
              </w:rPr>
            </w:pPr>
            <w:r>
              <w:rPr>
                <w:rFonts w:ascii="Times New Roman" w:hAnsi="Times New Roman" w:cs="Times New Roman"/>
                <w:color w:val="#000000"/>
                <w:sz w:val="22"/>
                <w:szCs w:val="22"/>
              </w:rPr>
              <w:t> Творческие мастерские</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Роль средств массовой информации в освещении конфликта</w:t>
            </w:r>
          </w:p>
          <w:p>
            <w:pPr>
              <w:jc w:val="center"/>
              <w:spacing w:after="0" w:line="240" w:lineRule="auto"/>
              <w:rPr>
                <w:sz w:val="22"/>
                <w:szCs w:val="22"/>
              </w:rPr>
            </w:pPr>
            <w:r>
              <w:rPr>
                <w:rFonts w:ascii="Times New Roman" w:hAnsi="Times New Roman" w:cs="Times New Roman"/>
                <w:color w:val="#000000"/>
                <w:sz w:val="22"/>
                <w:szCs w:val="22"/>
              </w:rPr>
              <w:t> Современное телевидение</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ОПК-1, УК-10</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89"/>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1053.989"/>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Сущность, природа  и последствия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Правовое регулирование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природа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Институциональные основы противодействия коррупции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Институциональные основы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Политика государства в сфере взаимодействия институтов гражданского общества и органов законодательной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Антикоррупционная экспертиза нормативных 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Антикоррупционная экспертиза нормативных 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7039.09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931.4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Правовое регулирование противодействия коррупции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Международные стандарты противодействия коррупции. Основные способы борьбы с ней.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Институциональные основы противодействия коррупции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нормативные правовые акты в сфере противодействии коррупции. Система правовых средств противодеи̌ствия коррупции. Национальная стратегия противодействия коррупции и Национальный план противодействия коррупции. Органы государственной власти, участвующие в разработке и реализации направлений государственной политики в сфере противодействия коррупции. Структура антикоррупционных программ органов власти.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природа коррупции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признаки коррупции. Сферы проявления и основные факторы коррупции. Исторические и социальные корни коррупции. Коррупция в современной России.</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Политика государства в сфере взаимодействия институтов гражданского общества и органов законодательной власти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ведомственных рабочих групп, совещательных и экспертных комиссий в противодействии коррупции. Институты гражданского общества как субъекты общественного контроля. Политика государства в сфере взаимодействия институтов гражданского общества и органов власти.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Противодействие коррупции в системе управления народным хозяйством. Правовое антикоррупционное регулирование нормотворческой деятельности на федеральном, региональном и местном уровнях.  Исследование результатов применения мер по предупреждению, пресечению коррупции и мер ответственности за совершение коррупционных правонарушений. Проблемы совершенствования российского законодательства о противодействии коррупции.</w:t>
            </w:r>
          </w:p>
        </w:tc>
      </w:tr>
      <w:tr>
        <w:trPr>
          <w:trHeight w:hRule="exact" w:val="855.54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«Противодействие коррупции в образовательной сфере» / Кузнецова Е.К..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Антикоррупционная</w:t>
            </w:r>
            <w:r>
              <w:rPr/>
              <w:t xml:space="preserve"> </w:t>
            </w:r>
            <w:r>
              <w:rPr>
                <w:rFonts w:ascii="Times New Roman" w:hAnsi="Times New Roman" w:cs="Times New Roman"/>
                <w:color w:val="#000000"/>
                <w:sz w:val="24"/>
                <w:szCs w:val="24"/>
              </w:rPr>
              <w:t>экспертиза</w:t>
            </w:r>
            <w:r>
              <w:rPr/>
              <w:t xml:space="preserve"> </w:t>
            </w:r>
            <w:r>
              <w:rPr>
                <w:rFonts w:ascii="Times New Roman" w:hAnsi="Times New Roman" w:cs="Times New Roman"/>
                <w:color w:val="#000000"/>
                <w:sz w:val="24"/>
                <w:szCs w:val="24"/>
              </w:rPr>
              <w:t>нормативных</w:t>
            </w:r>
            <w:r>
              <w:rPr/>
              <w:t xml:space="preserve"> </w:t>
            </w:r>
            <w:r>
              <w:rPr>
                <w:rFonts w:ascii="Times New Roman" w:hAnsi="Times New Roman" w:cs="Times New Roman"/>
                <w:color w:val="#000000"/>
                <w:sz w:val="24"/>
                <w:szCs w:val="24"/>
              </w:rPr>
              <w:t>правовых</w:t>
            </w:r>
            <w:r>
              <w:rPr/>
              <w:t xml:space="preserve"> </w:t>
            </w:r>
            <w:r>
              <w:rPr>
                <w:rFonts w:ascii="Times New Roman" w:hAnsi="Times New Roman" w:cs="Times New Roman"/>
                <w:color w:val="#000000"/>
                <w:sz w:val="24"/>
                <w:szCs w:val="24"/>
              </w:rPr>
              <w:t>актов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их</w:t>
            </w:r>
            <w:r>
              <w:rPr/>
              <w:t xml:space="preserve"> </w:t>
            </w:r>
            <w:r>
              <w:rPr>
                <w:rFonts w:ascii="Times New Roman" w:hAnsi="Times New Roman" w:cs="Times New Roman"/>
                <w:color w:val="#000000"/>
                <w:sz w:val="24"/>
                <w:szCs w:val="24"/>
              </w:rPr>
              <w:t>проектов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Бурмистрова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Головко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Исламова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Кулик</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Санкт-Петербург:</w:t>
            </w:r>
            <w:r>
              <w:rPr/>
              <w:t xml:space="preserve"> </w:t>
            </w:r>
            <w:r>
              <w:rPr>
                <w:rFonts w:ascii="Times New Roman" w:hAnsi="Times New Roman" w:cs="Times New Roman"/>
                <w:color w:val="#000000"/>
                <w:sz w:val="24"/>
                <w:szCs w:val="24"/>
              </w:rPr>
              <w:t>Санкт-Петербургский</w:t>
            </w:r>
            <w:r>
              <w:rPr/>
              <w:t xml:space="preserve"> </w:t>
            </w:r>
            <w:r>
              <w:rPr>
                <w:rFonts w:ascii="Times New Roman" w:hAnsi="Times New Roman" w:cs="Times New Roman"/>
                <w:color w:val="#000000"/>
                <w:sz w:val="24"/>
                <w:szCs w:val="24"/>
              </w:rPr>
              <w:t>юридический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(филиал)</w:t>
            </w:r>
            <w:r>
              <w:rPr/>
              <w:t xml:space="preserve"> </w:t>
            </w:r>
            <w:r>
              <w:rPr>
                <w:rFonts w:ascii="Times New Roman" w:hAnsi="Times New Roman" w:cs="Times New Roman"/>
                <w:color w:val="#000000"/>
                <w:sz w:val="24"/>
                <w:szCs w:val="24"/>
              </w:rPr>
              <w:t>Академии</w:t>
            </w:r>
            <w:r>
              <w:rPr/>
              <w:t xml:space="preserve"> </w:t>
            </w:r>
            <w:r>
              <w:rPr>
                <w:rFonts w:ascii="Times New Roman" w:hAnsi="Times New Roman" w:cs="Times New Roman"/>
                <w:color w:val="#000000"/>
                <w:sz w:val="24"/>
                <w:szCs w:val="24"/>
              </w:rPr>
              <w:t>Генеральной</w:t>
            </w:r>
            <w:r>
              <w:rPr/>
              <w:t xml:space="preserve"> </w:t>
            </w:r>
            <w:r>
              <w:rPr>
                <w:rFonts w:ascii="Times New Roman" w:hAnsi="Times New Roman" w:cs="Times New Roman"/>
                <w:color w:val="#000000"/>
                <w:sz w:val="24"/>
                <w:szCs w:val="24"/>
              </w:rPr>
              <w:t>прокуратуры</w:t>
            </w:r>
            <w:r>
              <w:rPr/>
              <w:t xml:space="preserve"> </w:t>
            </w:r>
            <w:r>
              <w:rPr>
                <w:rFonts w:ascii="Times New Roman" w:hAnsi="Times New Roman" w:cs="Times New Roman"/>
                <w:color w:val="#000000"/>
                <w:sz w:val="24"/>
                <w:szCs w:val="24"/>
              </w:rPr>
              <w:t>РФ,</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http://www.iprbookshop.ru/73003.html</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2719.20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Научно-практический</w:t>
            </w:r>
            <w:r>
              <w:rPr/>
              <w:t xml:space="preserve"> </w:t>
            </w:r>
            <w:r>
              <w:rPr>
                <w:rFonts w:ascii="Times New Roman" w:hAnsi="Times New Roman" w:cs="Times New Roman"/>
                <w:color w:val="#000000"/>
                <w:sz w:val="24"/>
                <w:szCs w:val="24"/>
              </w:rPr>
              <w:t>комментарий</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Федеральному</w:t>
            </w:r>
            <w:r>
              <w:rPr/>
              <w:t xml:space="preserve"> </w:t>
            </w:r>
            <w:r>
              <w:rPr>
                <w:rFonts w:ascii="Times New Roman" w:hAnsi="Times New Roman" w:cs="Times New Roman"/>
                <w:color w:val="#000000"/>
                <w:sz w:val="24"/>
                <w:szCs w:val="24"/>
              </w:rPr>
              <w:t>закону</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25</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2008</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273-ФЗ</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противодействии</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(постатейный)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Хабриева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Габов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Цирин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Ноздрачев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Абузярова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Кошаева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Ломакина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Матулис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Молчанова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Семилютина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Севальнев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Трунцевский</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Черепанова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Хабриевой</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Научно-практический</w:t>
            </w:r>
            <w:r>
              <w:rPr/>
              <w:t xml:space="preserve"> </w:t>
            </w:r>
            <w:r>
              <w:rPr>
                <w:rFonts w:ascii="Times New Roman" w:hAnsi="Times New Roman" w:cs="Times New Roman"/>
                <w:color w:val="#000000"/>
                <w:sz w:val="24"/>
                <w:szCs w:val="24"/>
              </w:rPr>
              <w:t>комментарий</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Федеральному</w:t>
            </w:r>
            <w:r>
              <w:rPr/>
              <w:t xml:space="preserve"> </w:t>
            </w:r>
            <w:r>
              <w:rPr>
                <w:rFonts w:ascii="Times New Roman" w:hAnsi="Times New Roman" w:cs="Times New Roman"/>
                <w:color w:val="#000000"/>
                <w:sz w:val="24"/>
                <w:szCs w:val="24"/>
              </w:rPr>
              <w:t>закону</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25</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2008</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273-ФЗ</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противодействии</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(постатейный)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законодательства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сравнительного</w:t>
            </w:r>
            <w:r>
              <w:rPr/>
              <w:t xml:space="preserve"> </w:t>
            </w:r>
            <w:r>
              <w:rPr>
                <w:rFonts w:ascii="Times New Roman" w:hAnsi="Times New Roman" w:cs="Times New Roman"/>
                <w:color w:val="#000000"/>
                <w:sz w:val="24"/>
                <w:szCs w:val="24"/>
              </w:rPr>
              <w:t>правоведения</w:t>
            </w:r>
            <w:r>
              <w:rPr/>
              <w:t xml:space="preserve"> </w:t>
            </w:r>
            <w:r>
              <w:rPr>
                <w:rFonts w:ascii="Times New Roman" w:hAnsi="Times New Roman" w:cs="Times New Roman"/>
                <w:color w:val="#000000"/>
                <w:sz w:val="24"/>
                <w:szCs w:val="24"/>
              </w:rPr>
              <w:t>при</w:t>
            </w:r>
            <w:r>
              <w:rPr/>
              <w:t xml:space="preserve"> </w:t>
            </w:r>
            <w:r>
              <w:rPr>
                <w:rFonts w:ascii="Times New Roman" w:hAnsi="Times New Roman" w:cs="Times New Roman"/>
                <w:color w:val="#000000"/>
                <w:sz w:val="24"/>
                <w:szCs w:val="24"/>
              </w:rPr>
              <w:t>Правительстве</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Юриспруденция,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978-5-9516-0815-4.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http://www.iprbookshop.ru/86535.html</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Правовые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антикоррупционной</w:t>
            </w:r>
            <w:r>
              <w:rPr/>
              <w:t xml:space="preserve"> </w:t>
            </w:r>
            <w:r>
              <w:rPr>
                <w:rFonts w:ascii="Times New Roman" w:hAnsi="Times New Roman" w:cs="Times New Roman"/>
                <w:color w:val="#000000"/>
                <w:sz w:val="24"/>
                <w:szCs w:val="24"/>
              </w:rPr>
              <w:t>политики</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современность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Шишкарёв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Правовые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антикоррупционной</w:t>
            </w:r>
            <w:r>
              <w:rPr/>
              <w:t xml:space="preserve"> </w:t>
            </w:r>
            <w:r>
              <w:rPr>
                <w:rFonts w:ascii="Times New Roman" w:hAnsi="Times New Roman" w:cs="Times New Roman"/>
                <w:color w:val="#000000"/>
                <w:sz w:val="24"/>
                <w:szCs w:val="24"/>
              </w:rPr>
              <w:t>политики</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современность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978-5-238-01232-2.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http://www.iprbookshop.ru/81827.html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Антикоррупционная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субъектов</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Басос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Илюшина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Ишеков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Казачкова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Кирилин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Козлова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Красиков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Малеванова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Фоменко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978-5-00094-613-8.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http://www.iprbookshop.ru/86914.html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346.25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706.186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789.7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2023-2024_ФГОС3++2023_Бак-ОФО-ПО(МО)(23)_plx_Противодействие коррупции в образовательной сфере</dc:title>
  <dc:creator>FastReport.NET</dc:creator>
</cp:coreProperties>
</file>